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015 / 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Gemeinde Kirchlengern, geschlossene Kanalsanierung 2026/2027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Gemeinde Kirchlengern saniert Hauptkanäle in geschlossener Bauweise mit
Renovationsverfahren.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